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9B8" w:rsidRDefault="00E309B8" w:rsidP="00E309B8">
      <w:pPr>
        <w:pStyle w:val="a3"/>
        <w:ind w:right="-52"/>
        <w:jc w:val="center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  <w:b/>
          <w:sz w:val="32"/>
          <w:szCs w:val="28"/>
        </w:rPr>
        <w:t>銀行</w:t>
      </w:r>
      <w:r>
        <w:rPr>
          <w:rFonts w:ascii="Arial" w:eastAsia="標楷體" w:hAnsi="Arial" w:cs="Arial"/>
          <w:b/>
          <w:sz w:val="32"/>
          <w:szCs w:val="28"/>
        </w:rPr>
        <w:t>業</w:t>
      </w:r>
      <w:r>
        <w:rPr>
          <w:rFonts w:ascii="Arial" w:eastAsia="標楷體" w:hAnsi="Arial" w:cs="Arial" w:hint="eastAsia"/>
          <w:b/>
          <w:sz w:val="32"/>
          <w:szCs w:val="28"/>
        </w:rPr>
        <w:t>跨領域</w:t>
      </w:r>
      <w:r w:rsidRPr="00E270F8">
        <w:rPr>
          <w:rFonts w:ascii="Arial" w:eastAsia="標楷體" w:hAnsi="Arial" w:cs="Arial" w:hint="eastAsia"/>
          <w:b/>
          <w:sz w:val="32"/>
          <w:szCs w:val="28"/>
        </w:rPr>
        <w:t>學程</w:t>
      </w:r>
    </w:p>
    <w:p w:rsidR="00E309B8" w:rsidRPr="00E309B8" w:rsidRDefault="00E309B8" w:rsidP="00E309B8">
      <w:pPr>
        <w:pStyle w:val="a3"/>
        <w:ind w:right="-52"/>
        <w:jc w:val="right"/>
        <w:rPr>
          <w:rFonts w:ascii="Arial" w:eastAsia="標楷體" w:hAnsi="Arial" w:cs="Arial"/>
          <w:color w:val="auto"/>
        </w:rPr>
      </w:pPr>
      <w:r w:rsidRPr="00E309B8">
        <w:rPr>
          <w:rFonts w:ascii="Arial" w:eastAsia="標楷體" w:hAnsi="Arial" w:cs="Arial" w:hint="eastAsia"/>
          <w:color w:val="auto"/>
        </w:rPr>
        <w:t>113.08.</w:t>
      </w:r>
      <w:r w:rsidRPr="00E309B8">
        <w:rPr>
          <w:rFonts w:ascii="Arial" w:eastAsia="標楷體" w:hAnsi="Arial" w:cs="Arial"/>
          <w:color w:val="auto"/>
        </w:rPr>
        <w:t>28</w:t>
      </w:r>
      <w:r w:rsidRPr="00E309B8">
        <w:rPr>
          <w:rFonts w:ascii="Arial" w:eastAsia="標楷體" w:hAnsi="Arial" w:cs="Arial" w:hint="eastAsia"/>
          <w:color w:val="auto"/>
        </w:rPr>
        <w:t>院</w:t>
      </w:r>
      <w:r w:rsidRPr="00E309B8">
        <w:rPr>
          <w:rFonts w:ascii="Arial" w:eastAsia="標楷體" w:hAnsi="Arial" w:cs="Arial"/>
          <w:color w:val="auto"/>
        </w:rPr>
        <w:t>課</w:t>
      </w:r>
      <w:r w:rsidRPr="00E309B8">
        <w:rPr>
          <w:rFonts w:ascii="Arial" w:eastAsia="標楷體" w:hAnsi="Arial" w:cs="Arial" w:hint="eastAsia"/>
          <w:color w:val="auto"/>
        </w:rPr>
        <w:t>程</w:t>
      </w:r>
      <w:r w:rsidRPr="00E309B8">
        <w:rPr>
          <w:rFonts w:ascii="Arial" w:eastAsia="標楷體" w:hAnsi="Arial" w:cs="Arial"/>
          <w:color w:val="auto"/>
        </w:rPr>
        <w:t>委員會議通過</w:t>
      </w:r>
    </w:p>
    <w:p w:rsidR="00E309B8" w:rsidRPr="00E309B8" w:rsidRDefault="00E309B8" w:rsidP="00E309B8">
      <w:pPr>
        <w:pStyle w:val="a3"/>
        <w:ind w:right="-52"/>
        <w:jc w:val="right"/>
        <w:rPr>
          <w:rFonts w:ascii="Arial" w:eastAsia="標楷體" w:hAnsi="Arial" w:cs="Arial"/>
          <w:color w:val="auto"/>
        </w:rPr>
      </w:pPr>
      <w:r w:rsidRPr="00E309B8">
        <w:rPr>
          <w:rFonts w:ascii="Arial" w:eastAsia="標楷體" w:hAnsi="Arial" w:cs="Arial" w:hint="eastAsia"/>
          <w:color w:val="auto"/>
        </w:rPr>
        <w:t>113.10.</w:t>
      </w:r>
      <w:r w:rsidRPr="00E309B8">
        <w:rPr>
          <w:rFonts w:ascii="Arial" w:eastAsia="標楷體" w:hAnsi="Arial" w:cs="Arial"/>
          <w:color w:val="auto"/>
        </w:rPr>
        <w:t>2</w:t>
      </w:r>
      <w:r w:rsidRPr="00E309B8">
        <w:rPr>
          <w:rFonts w:ascii="Arial" w:eastAsia="標楷體" w:hAnsi="Arial" w:cs="Arial" w:hint="eastAsia"/>
          <w:color w:val="auto"/>
        </w:rPr>
        <w:t>2</w:t>
      </w:r>
      <w:r w:rsidRPr="00E309B8">
        <w:rPr>
          <w:rFonts w:ascii="Arial" w:eastAsia="標楷體" w:hAnsi="Arial" w:cs="Arial" w:hint="eastAsia"/>
          <w:color w:val="auto"/>
        </w:rPr>
        <w:t>校</w:t>
      </w:r>
      <w:r w:rsidRPr="00E309B8">
        <w:rPr>
          <w:rFonts w:ascii="Arial" w:eastAsia="標楷體" w:hAnsi="Arial" w:cs="Arial"/>
          <w:color w:val="auto"/>
        </w:rPr>
        <w:t>課</w:t>
      </w:r>
      <w:r w:rsidRPr="00E309B8">
        <w:rPr>
          <w:rFonts w:ascii="Arial" w:eastAsia="標楷體" w:hAnsi="Arial" w:cs="Arial" w:hint="eastAsia"/>
          <w:color w:val="auto"/>
        </w:rPr>
        <w:t>程</w:t>
      </w:r>
      <w:r w:rsidRPr="00E309B8">
        <w:rPr>
          <w:rFonts w:ascii="Arial" w:eastAsia="標楷體" w:hAnsi="Arial" w:cs="Arial"/>
          <w:color w:val="auto"/>
        </w:rPr>
        <w:t>委員會議通過</w:t>
      </w:r>
    </w:p>
    <w:p w:rsidR="00E309B8" w:rsidRPr="00E309B8" w:rsidRDefault="00E309B8" w:rsidP="00E309B8">
      <w:pPr>
        <w:pStyle w:val="a3"/>
        <w:ind w:right="-52"/>
        <w:jc w:val="right"/>
        <w:rPr>
          <w:rFonts w:ascii="Arial" w:eastAsia="標楷體" w:hAnsi="Arial" w:cs="Arial"/>
          <w:color w:val="auto"/>
        </w:rPr>
      </w:pPr>
      <w:r w:rsidRPr="00E309B8">
        <w:rPr>
          <w:rFonts w:ascii="Arial" w:eastAsia="標楷體" w:hAnsi="Arial" w:cs="Arial" w:hint="eastAsia"/>
          <w:color w:val="auto"/>
        </w:rPr>
        <w:t>115.03.19</w:t>
      </w:r>
      <w:r w:rsidRPr="00E309B8">
        <w:rPr>
          <w:rFonts w:ascii="Arial" w:eastAsia="標楷體" w:hAnsi="Arial" w:cs="Arial" w:hint="eastAsia"/>
          <w:color w:val="auto"/>
        </w:rPr>
        <w:t>院</w:t>
      </w:r>
      <w:r w:rsidRPr="00E309B8">
        <w:rPr>
          <w:rFonts w:ascii="Arial" w:eastAsia="標楷體" w:hAnsi="Arial" w:cs="Arial"/>
          <w:color w:val="auto"/>
        </w:rPr>
        <w:t>課</w:t>
      </w:r>
      <w:r w:rsidRPr="00E309B8">
        <w:rPr>
          <w:rFonts w:ascii="Arial" w:eastAsia="標楷體" w:hAnsi="Arial" w:cs="Arial" w:hint="eastAsia"/>
          <w:color w:val="auto"/>
        </w:rPr>
        <w:t>程</w:t>
      </w:r>
      <w:r w:rsidRPr="00E309B8">
        <w:rPr>
          <w:rFonts w:ascii="Arial" w:eastAsia="標楷體" w:hAnsi="Arial" w:cs="Arial"/>
          <w:color w:val="auto"/>
        </w:rPr>
        <w:t>委員會議通過</w:t>
      </w:r>
    </w:p>
    <w:p w:rsidR="00E309B8" w:rsidRPr="00E309B8" w:rsidRDefault="00E309B8" w:rsidP="00E309B8">
      <w:pPr>
        <w:tabs>
          <w:tab w:val="center" w:pos="4153"/>
          <w:tab w:val="right" w:pos="8306"/>
        </w:tabs>
        <w:snapToGrid w:val="0"/>
        <w:ind w:right="-52"/>
        <w:jc w:val="right"/>
        <w:rPr>
          <w:rFonts w:ascii="標楷體" w:eastAsia="標楷體" w:hAnsi="標楷體"/>
          <w:color w:val="auto"/>
          <w:sz w:val="18"/>
          <w:szCs w:val="20"/>
        </w:rPr>
      </w:pPr>
      <w:r w:rsidRPr="00E309B8">
        <w:rPr>
          <w:rFonts w:ascii="Arial" w:eastAsia="標楷體" w:hAnsi="Arial" w:cs="Arial" w:hint="eastAsia"/>
          <w:color w:val="auto"/>
          <w:sz w:val="20"/>
          <w:szCs w:val="20"/>
        </w:rPr>
        <w:t>115.03.31</w:t>
      </w:r>
      <w:r w:rsidRPr="00E309B8">
        <w:rPr>
          <w:rFonts w:ascii="Arial" w:eastAsia="標楷體" w:hAnsi="Arial" w:cs="Arial" w:hint="eastAsia"/>
          <w:color w:val="auto"/>
          <w:sz w:val="20"/>
          <w:szCs w:val="20"/>
        </w:rPr>
        <w:t>校</w:t>
      </w:r>
      <w:r w:rsidRPr="00E309B8">
        <w:rPr>
          <w:rFonts w:ascii="Arial" w:eastAsia="標楷體" w:hAnsi="Arial" w:cs="Arial"/>
          <w:color w:val="auto"/>
          <w:sz w:val="20"/>
          <w:szCs w:val="20"/>
        </w:rPr>
        <w:t>課</w:t>
      </w:r>
      <w:r w:rsidRPr="00E309B8">
        <w:rPr>
          <w:rFonts w:ascii="Arial" w:eastAsia="標楷體" w:hAnsi="Arial" w:cs="Arial" w:hint="eastAsia"/>
          <w:color w:val="auto"/>
          <w:sz w:val="20"/>
          <w:szCs w:val="20"/>
        </w:rPr>
        <w:t>程</w:t>
      </w:r>
      <w:r w:rsidRPr="00E309B8">
        <w:rPr>
          <w:rFonts w:ascii="Arial" w:eastAsia="標楷體" w:hAnsi="Arial" w:cs="Arial"/>
          <w:color w:val="auto"/>
          <w:sz w:val="20"/>
          <w:szCs w:val="20"/>
        </w:rPr>
        <w:t>委員會議通過</w:t>
      </w:r>
    </w:p>
    <w:p w:rsidR="00E309B8" w:rsidRPr="00236E3F" w:rsidRDefault="00E309B8" w:rsidP="00E309B8">
      <w:pPr>
        <w:pStyle w:val="a3"/>
        <w:ind w:right="-52"/>
        <w:jc w:val="right"/>
        <w:rPr>
          <w:rFonts w:ascii="Arial" w:eastAsia="標楷體" w:hAnsi="Arial" w:cs="Arial"/>
          <w:sz w:val="24"/>
        </w:rPr>
      </w:pPr>
      <w:r w:rsidRPr="00236E3F">
        <w:rPr>
          <w:rFonts w:ascii="Arial" w:eastAsia="標楷體" w:hAnsi="Arial" w:cs="Arial"/>
          <w:sz w:val="24"/>
        </w:rPr>
        <w:t>[</w:t>
      </w:r>
      <w:r w:rsidRPr="00236E3F">
        <w:rPr>
          <w:rFonts w:ascii="Arial" w:eastAsia="標楷體" w:hAnsi="Arial" w:cs="Arial" w:hint="eastAsia"/>
          <w:sz w:val="24"/>
        </w:rPr>
        <w:t>適</w:t>
      </w:r>
      <w:r w:rsidRPr="00236E3F">
        <w:rPr>
          <w:rFonts w:ascii="Arial" w:eastAsia="標楷體" w:hAnsi="Arial" w:cs="Arial"/>
          <w:sz w:val="24"/>
        </w:rPr>
        <w:t>用於</w:t>
      </w:r>
      <w:r w:rsidRPr="00236E3F">
        <w:rPr>
          <w:rFonts w:ascii="Arial" w:eastAsia="標楷體" w:hAnsi="Arial" w:cs="Arial" w:hint="eastAsia"/>
          <w:sz w:val="24"/>
        </w:rPr>
        <w:t>113</w:t>
      </w:r>
      <w:r w:rsidRPr="00236E3F">
        <w:rPr>
          <w:rFonts w:ascii="Arial" w:eastAsia="標楷體" w:hAnsi="Arial" w:cs="Arial" w:hint="eastAsia"/>
          <w:sz w:val="24"/>
        </w:rPr>
        <w:t>級之</w:t>
      </w:r>
      <w:r w:rsidRPr="00236E3F">
        <w:rPr>
          <w:rFonts w:ascii="Arial" w:eastAsia="標楷體" w:hAnsi="Arial" w:cs="Arial"/>
          <w:sz w:val="24"/>
        </w:rPr>
        <w:t>後入學</w:t>
      </w:r>
      <w:r w:rsidRPr="00236E3F">
        <w:rPr>
          <w:rFonts w:ascii="Arial" w:eastAsia="標楷體" w:hAnsi="Arial" w:cs="Arial" w:hint="eastAsia"/>
          <w:sz w:val="24"/>
        </w:rPr>
        <w:t>學</w:t>
      </w:r>
      <w:r w:rsidRPr="00236E3F">
        <w:rPr>
          <w:rFonts w:ascii="Arial" w:eastAsia="標楷體" w:hAnsi="Arial" w:cs="Arial"/>
          <w:sz w:val="24"/>
        </w:rPr>
        <w:t>生</w:t>
      </w:r>
      <w:r w:rsidRPr="00236E3F">
        <w:rPr>
          <w:rFonts w:ascii="Arial" w:eastAsia="標楷體" w:hAnsi="Arial" w:cs="Arial" w:hint="eastAsia"/>
          <w:sz w:val="24"/>
        </w:rPr>
        <w:t>]</w:t>
      </w:r>
    </w:p>
    <w:p w:rsidR="00E309B8" w:rsidRPr="00E309B8" w:rsidRDefault="00E309B8" w:rsidP="00E309B8">
      <w:pPr>
        <w:snapToGrid w:val="0"/>
        <w:ind w:left="564" w:hangingChars="235" w:hanging="564"/>
        <w:rPr>
          <w:rFonts w:ascii="Times New Roman" w:eastAsia="標楷體" w:hAnsi="Times New Roman" w:cs="Arial"/>
        </w:rPr>
      </w:pPr>
      <w:r w:rsidRPr="00E309B8">
        <w:rPr>
          <w:rFonts w:ascii="Times New Roman" w:eastAsia="標楷體" w:hAnsi="Times New Roman" w:cs="Arial" w:hint="eastAsia"/>
        </w:rPr>
        <w:t>一、</w:t>
      </w:r>
      <w:r w:rsidRPr="00E309B8">
        <w:rPr>
          <w:rFonts w:ascii="Times New Roman" w:eastAsia="標楷體" w:hAnsi="Times New Roman" w:cs="Arial"/>
        </w:rPr>
        <w:t>目的</w:t>
      </w:r>
      <w:r w:rsidRPr="00E309B8">
        <w:rPr>
          <w:rFonts w:ascii="Times New Roman" w:eastAsia="標楷體" w:hAnsi="Times New Roman" w:cs="Arial" w:hint="eastAsia"/>
        </w:rPr>
        <w:t>：整合各系之課程，鼓勵學生跨領域學習，提供學生有系統的規劃及適性選擇，提升未來就業競爭力及開闊職</w:t>
      </w:r>
      <w:proofErr w:type="gramStart"/>
      <w:r w:rsidRPr="00E309B8">
        <w:rPr>
          <w:rFonts w:ascii="Times New Roman" w:eastAsia="標楷體" w:hAnsi="Times New Roman" w:cs="Arial" w:hint="eastAsia"/>
        </w:rPr>
        <w:t>涯</w:t>
      </w:r>
      <w:proofErr w:type="gramEnd"/>
      <w:r w:rsidRPr="00E309B8">
        <w:rPr>
          <w:rFonts w:ascii="Times New Roman" w:eastAsia="標楷體" w:hAnsi="Times New Roman" w:cs="Arial" w:hint="eastAsia"/>
        </w:rPr>
        <w:t>規劃。</w:t>
      </w:r>
    </w:p>
    <w:p w:rsidR="00E309B8" w:rsidRDefault="00E309B8" w:rsidP="00E309B8">
      <w:pPr>
        <w:snapToGrid w:val="0"/>
        <w:ind w:left="480" w:hangingChars="200" w:hanging="480"/>
        <w:rPr>
          <w:rFonts w:ascii="Times New Roman" w:eastAsia="標楷體" w:hAnsi="Times New Roman" w:cs="Arial"/>
        </w:rPr>
      </w:pPr>
      <w:r w:rsidRPr="00E309B8">
        <w:rPr>
          <w:rFonts w:ascii="Times New Roman" w:eastAsia="標楷體" w:hAnsi="Times New Roman" w:cs="Arial" w:hint="eastAsia"/>
        </w:rPr>
        <w:t>二、本學程需修滿</w:t>
      </w:r>
      <w:r w:rsidRPr="00E309B8">
        <w:rPr>
          <w:rFonts w:ascii="Times New Roman" w:eastAsia="標楷體" w:hAnsi="Times New Roman" w:cs="Arial" w:hint="eastAsia"/>
        </w:rPr>
        <w:t>22</w:t>
      </w:r>
      <w:r w:rsidRPr="00E309B8">
        <w:rPr>
          <w:rFonts w:ascii="Times New Roman" w:eastAsia="標楷體" w:hAnsi="Times New Roman" w:cs="Arial" w:hint="eastAsia"/>
        </w:rPr>
        <w:t>學分始得取得證明，其中</w:t>
      </w:r>
      <w:r w:rsidRPr="00E309B8">
        <w:rPr>
          <w:rFonts w:ascii="Times New Roman" w:eastAsia="標楷體" w:hAnsi="Times New Roman" w:cs="Arial" w:hint="eastAsia"/>
        </w:rPr>
        <w:t>8</w:t>
      </w:r>
      <w:r w:rsidRPr="00E309B8">
        <w:rPr>
          <w:rFonts w:ascii="Times New Roman" w:eastAsia="標楷體" w:hAnsi="Times New Roman" w:cs="Arial" w:hint="eastAsia"/>
        </w:rPr>
        <w:t>學分為必修，</w:t>
      </w:r>
      <w:r w:rsidRPr="00E309B8">
        <w:rPr>
          <w:rFonts w:ascii="Times New Roman" w:eastAsia="標楷體" w:hAnsi="Times New Roman" w:cs="Arial" w:hint="eastAsia"/>
        </w:rPr>
        <w:t>14</w:t>
      </w:r>
      <w:r w:rsidRPr="00E309B8">
        <w:rPr>
          <w:rFonts w:ascii="Times New Roman" w:eastAsia="標楷體" w:hAnsi="Times New Roman" w:cs="Arial" w:hint="eastAsia"/>
        </w:rPr>
        <w:t>學分為選修。修習科目至少應有</w:t>
      </w:r>
      <w:r w:rsidRPr="00E309B8">
        <w:rPr>
          <w:rFonts w:ascii="Times New Roman" w:eastAsia="標楷體" w:hAnsi="Times New Roman" w:cs="Arial" w:hint="eastAsia"/>
        </w:rPr>
        <w:t>6</w:t>
      </w:r>
      <w:r w:rsidRPr="00E309B8">
        <w:rPr>
          <w:rFonts w:ascii="Times New Roman" w:eastAsia="標楷體" w:hAnsi="Times New Roman" w:cs="Arial" w:hint="eastAsia"/>
        </w:rPr>
        <w:t>學分為外系課程。</w:t>
      </w:r>
    </w:p>
    <w:p w:rsidR="00E309B8" w:rsidRDefault="00E309B8" w:rsidP="00E309B8">
      <w:pPr>
        <w:snapToGrid w:val="0"/>
        <w:ind w:left="480" w:hangingChars="200" w:hanging="480"/>
        <w:rPr>
          <w:rFonts w:ascii="Times New Roman" w:eastAsia="標楷體" w:hAnsi="Times New Roman" w:cs="Arial"/>
        </w:rPr>
      </w:pPr>
      <w:r w:rsidRPr="00E309B8">
        <w:rPr>
          <w:rFonts w:ascii="Times New Roman" w:eastAsia="標楷體" w:hAnsi="Times New Roman" w:cs="Arial" w:hint="eastAsia"/>
        </w:rPr>
        <w:t>三、必修或選修科目與本表所列之課程名稱相同即視為相同課程，不限開課單位。</w:t>
      </w:r>
    </w:p>
    <w:p w:rsidR="00E309B8" w:rsidRPr="00E309B8" w:rsidRDefault="00E309B8" w:rsidP="00E309B8">
      <w:pPr>
        <w:snapToGrid w:val="0"/>
        <w:ind w:left="480" w:hangingChars="200" w:hanging="480"/>
        <w:rPr>
          <w:rFonts w:ascii="Times New Roman" w:eastAsia="標楷體" w:hAnsi="Times New Roman" w:cs="Arial"/>
        </w:rPr>
      </w:pPr>
      <w:r w:rsidRPr="00E309B8">
        <w:rPr>
          <w:rFonts w:ascii="Times New Roman" w:eastAsia="標楷體" w:hAnsi="Times New Roman" w:cs="Arial" w:hint="eastAsia"/>
        </w:rPr>
        <w:t>四、選修科目若與本表所列之科目名稱不同時，得</w:t>
      </w:r>
      <w:proofErr w:type="gramStart"/>
      <w:r w:rsidRPr="00E309B8">
        <w:rPr>
          <w:rFonts w:ascii="Times New Roman" w:eastAsia="標楷體" w:hAnsi="Times New Roman" w:cs="Arial" w:hint="eastAsia"/>
        </w:rPr>
        <w:t>經由系</w:t>
      </w:r>
      <w:proofErr w:type="gramEnd"/>
      <w:r w:rsidRPr="00E309B8">
        <w:rPr>
          <w:rFonts w:ascii="Times New Roman" w:eastAsia="標楷體" w:hAnsi="Times New Roman" w:cs="Arial" w:hint="eastAsia"/>
        </w:rPr>
        <w:t>、院主管同意後，得辦理抵免之申請。</w:t>
      </w:r>
    </w:p>
    <w:p w:rsidR="00E309B8" w:rsidRPr="00E309B8" w:rsidRDefault="00E309B8" w:rsidP="00E309B8">
      <w:pPr>
        <w:snapToGrid w:val="0"/>
        <w:rPr>
          <w:rFonts w:ascii="Times New Roman" w:eastAsia="標楷體" w:hAnsi="Times New Roman" w:cs="Arial"/>
        </w:rPr>
      </w:pPr>
      <w:r w:rsidRPr="00E309B8">
        <w:rPr>
          <w:rFonts w:ascii="Times New Roman" w:eastAsia="標楷體" w:hAnsi="Times New Roman" w:cs="Arial" w:hint="eastAsia"/>
        </w:rPr>
        <w:t>五、本規定經校課程委員會通過後實施。</w:t>
      </w:r>
    </w:p>
    <w:p w:rsidR="00E309B8" w:rsidRPr="00E309B8" w:rsidRDefault="00E309B8" w:rsidP="00E309B8">
      <w:pPr>
        <w:snapToGrid w:val="0"/>
        <w:rPr>
          <w:rFonts w:ascii="Times New Roman" w:eastAsia="標楷體" w:hAnsi="Times New Roman" w:cs="Arial"/>
        </w:rPr>
      </w:pPr>
      <w:r w:rsidRPr="00E309B8">
        <w:rPr>
          <w:rFonts w:ascii="Times New Roman" w:eastAsia="標楷體" w:hAnsi="Times New Roman" w:cs="Arial" w:hint="eastAsia"/>
        </w:rPr>
        <w:t>六、課程規劃如</w:t>
      </w:r>
      <w:proofErr w:type="gramStart"/>
      <w:r w:rsidRPr="00E309B8">
        <w:rPr>
          <w:rFonts w:ascii="Times New Roman" w:eastAsia="標楷體" w:hAnsi="Times New Roman" w:cs="Arial" w:hint="eastAsia"/>
        </w:rPr>
        <w:t>后</w:t>
      </w:r>
      <w:proofErr w:type="gramEnd"/>
      <w:r w:rsidRPr="00E309B8">
        <w:rPr>
          <w:rFonts w:ascii="Times New Roman" w:eastAsia="標楷體" w:hAnsi="Times New Roman" w:cs="Arial" w:hint="eastAsia"/>
        </w:rPr>
        <w:t>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0"/>
        <w:gridCol w:w="1796"/>
        <w:gridCol w:w="3015"/>
        <w:gridCol w:w="1931"/>
        <w:gridCol w:w="12"/>
      </w:tblGrid>
      <w:tr w:rsidR="00E309B8" w:rsidRPr="00DC162C" w:rsidTr="0009647C">
        <w:trPr>
          <w:trHeight w:val="20"/>
          <w:tblHeader/>
          <w:jc w:val="center"/>
        </w:trPr>
        <w:tc>
          <w:tcPr>
            <w:tcW w:w="2568" w:type="pct"/>
            <w:gridSpan w:val="2"/>
            <w:shd w:val="clear" w:color="auto" w:fill="C4BC96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必修</w:t>
            </w:r>
          </w:p>
        </w:tc>
        <w:tc>
          <w:tcPr>
            <w:tcW w:w="2432" w:type="pct"/>
            <w:gridSpan w:val="3"/>
            <w:shd w:val="clear" w:color="auto" w:fill="C4BC96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選修</w:t>
            </w:r>
          </w:p>
        </w:tc>
      </w:tr>
      <w:tr w:rsidR="00E309B8" w:rsidRPr="00DC162C" w:rsidTr="00E309B8">
        <w:trPr>
          <w:gridAfter w:val="1"/>
          <w:wAfter w:w="6" w:type="pct"/>
          <w:trHeight w:val="20"/>
          <w:tblHeader/>
          <w:jc w:val="center"/>
        </w:trPr>
        <w:tc>
          <w:tcPr>
            <w:tcW w:w="1687" w:type="pct"/>
            <w:shd w:val="clear" w:color="auto" w:fill="C4BC96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課程名稱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 w:hint="eastAsia"/>
                <w:bCs/>
              </w:rPr>
              <w:t>學分</w:t>
            </w:r>
          </w:p>
        </w:tc>
        <w:tc>
          <w:tcPr>
            <w:tcW w:w="881" w:type="pct"/>
            <w:shd w:val="clear" w:color="auto" w:fill="C4BC96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主要開課系別</w:t>
            </w:r>
          </w:p>
        </w:tc>
        <w:tc>
          <w:tcPr>
            <w:tcW w:w="1479" w:type="pct"/>
            <w:shd w:val="clear" w:color="auto" w:fill="C4BC96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課程名稱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 w:hint="eastAsia"/>
                <w:bCs/>
              </w:rPr>
              <w:t>學分</w:t>
            </w:r>
          </w:p>
        </w:tc>
        <w:tc>
          <w:tcPr>
            <w:tcW w:w="947" w:type="pct"/>
            <w:shd w:val="clear" w:color="auto" w:fill="C4BC96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主要開課系別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會計學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1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商管學院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股票投資實務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會計學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商管學院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保險個案管理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經濟學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商管學院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金融產業分析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經濟學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商管學院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金融講堂</w:t>
            </w:r>
            <w:r w:rsidRPr="00DC162C">
              <w:rPr>
                <w:rFonts w:eastAsia="標楷體" w:cs="Arial" w:hint="eastAsia"/>
                <w:bCs/>
              </w:rPr>
              <w:t>(</w:t>
            </w:r>
            <w:proofErr w:type="gramStart"/>
            <w:r w:rsidRPr="00DC162C">
              <w:rPr>
                <w:rFonts w:eastAsia="標楷體" w:cs="Arial" w:hint="eastAsia"/>
                <w:bCs/>
              </w:rPr>
              <w:t>一</w:t>
            </w:r>
            <w:proofErr w:type="gramEnd"/>
            <w:r w:rsidRPr="00DC162C">
              <w:rPr>
                <w:rFonts w:eastAsia="標楷體" w:cs="Arial" w:hint="eastAsia"/>
                <w:bCs/>
              </w:rPr>
              <w:t>)/2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管理學</w:t>
            </w:r>
            <w:r w:rsidRPr="00E309B8">
              <w:rPr>
                <w:rFonts w:eastAsia="標楷體" w:cs="Arial" w:hint="eastAsia"/>
                <w:bCs/>
                <w:color w:val="auto"/>
              </w:rPr>
              <w:t>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商管學院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金融講堂</w:t>
            </w:r>
            <w:r w:rsidRPr="00DC162C">
              <w:rPr>
                <w:rFonts w:eastAsia="標楷體" w:cs="Arial"/>
                <w:bCs/>
              </w:rPr>
              <w:t>(</w:t>
            </w:r>
            <w:proofErr w:type="gramStart"/>
            <w:r w:rsidRPr="00DC162C">
              <w:rPr>
                <w:rFonts w:eastAsia="標楷體" w:cs="Arial" w:hint="eastAsia"/>
                <w:bCs/>
              </w:rPr>
              <w:t>一</w:t>
            </w:r>
            <w:proofErr w:type="gramEnd"/>
            <w:r w:rsidRPr="00DC162C">
              <w:rPr>
                <w:rFonts w:eastAsia="標楷體" w:cs="Arial" w:hint="eastAsia"/>
                <w:bCs/>
              </w:rPr>
              <w:t>)</w:t>
            </w:r>
            <w:r w:rsidRPr="00DC162C">
              <w:rPr>
                <w:rFonts w:eastAsia="標楷體" w:cs="Arial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人工智慧應用</w:t>
            </w:r>
            <w:r w:rsidRPr="00E309B8">
              <w:rPr>
                <w:rFonts w:eastAsia="標楷體" w:cs="Arial" w:hint="eastAsia"/>
                <w:bCs/>
                <w:color w:val="auto"/>
              </w:rPr>
              <w:t>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商管學院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>
              <w:rPr>
                <w:rFonts w:eastAsia="標楷體" w:cs="Arial" w:hint="eastAsia"/>
                <w:bCs/>
              </w:rPr>
              <w:t>網</w:t>
            </w:r>
            <w:r>
              <w:rPr>
                <w:rFonts w:eastAsia="標楷體" w:cs="Arial"/>
                <w:bCs/>
              </w:rPr>
              <w:t>路保險</w:t>
            </w:r>
            <w:r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企業倫理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企管</w:t>
            </w:r>
            <w:r>
              <w:rPr>
                <w:rFonts w:eastAsia="標楷體" w:cs="Arial" w:hint="eastAsia"/>
                <w:bCs/>
              </w:rPr>
              <w:t>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>
              <w:rPr>
                <w:rFonts w:eastAsia="標楷體" w:cs="Arial" w:hint="eastAsia"/>
                <w:bCs/>
              </w:rPr>
              <w:t>金</w:t>
            </w:r>
            <w:r>
              <w:rPr>
                <w:rFonts w:eastAsia="標楷體" w:cs="Arial"/>
                <w:bCs/>
              </w:rPr>
              <w:t>融產業分析</w:t>
            </w:r>
            <w:r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財經書報導讀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保險法</w:t>
            </w:r>
            <w:r w:rsidRPr="00DC162C"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三</w:t>
            </w:r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基礎財務會計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財務指標解讀與分析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>
              <w:rPr>
                <w:rFonts w:eastAsia="標楷體" w:cs="Arial" w:hint="eastAsia"/>
                <w:bCs/>
              </w:rPr>
              <w:t>商</w:t>
            </w:r>
            <w:r>
              <w:rPr>
                <w:rFonts w:eastAsia="標楷體" w:cs="Arial"/>
                <w:bCs/>
              </w:rPr>
              <w:t>用英</w:t>
            </w:r>
            <w:r>
              <w:rPr>
                <w:rFonts w:eastAsia="標楷體" w:cs="Arial" w:hint="eastAsia"/>
                <w:bCs/>
              </w:rPr>
              <w:t>文</w:t>
            </w:r>
            <w:r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財務指標解讀與分析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銀行實務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保險學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金融保險與大數據</w:t>
            </w:r>
            <w:r w:rsidRPr="00DC162C"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金融市場常識與職業道德</w:t>
            </w:r>
            <w:r w:rsidRPr="00E309B8">
              <w:rPr>
                <w:rFonts w:eastAsia="標楷體" w:cs="Arial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銀行內部控制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財務基礎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)/2</w:t>
            </w:r>
            <w:r>
              <w:rPr>
                <w:rFonts w:eastAsia="標楷體" w:cs="Arial" w:hint="eastAsia"/>
                <w:bCs/>
                <w:color w:val="auto"/>
              </w:rPr>
              <w:t>或</w:t>
            </w:r>
            <w:r>
              <w:rPr>
                <w:rFonts w:eastAsia="標楷體" w:cs="Arial" w:hint="eastAsia"/>
                <w:bCs/>
                <w:color w:val="auto"/>
              </w:rPr>
              <w:t>4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信託法規與實務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個</w:t>
            </w:r>
            <w:r w:rsidRPr="00E309B8">
              <w:rPr>
                <w:rFonts w:eastAsia="標楷體" w:cs="Arial"/>
                <w:bCs/>
                <w:color w:val="auto"/>
              </w:rPr>
              <w:t>體經濟學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產業趨勢分析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個</w:t>
            </w:r>
            <w:r w:rsidRPr="00E309B8">
              <w:rPr>
                <w:rFonts w:eastAsia="標楷體" w:cs="Arial"/>
                <w:bCs/>
                <w:color w:val="auto"/>
              </w:rPr>
              <w:t>體經濟學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證券法規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綠色金融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人壽保險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基礎財務統計分析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產物保險</w:t>
            </w:r>
            <w:r w:rsidRPr="00DC162C"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基礎財務統計分析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商事法</w:t>
            </w:r>
            <w:r w:rsidRPr="00DC162C"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投資軟體應用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銀行會計實務</w:t>
            </w:r>
            <w:r w:rsidRPr="00DC162C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投資軟體應用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財經新聞導讀</w:t>
            </w:r>
            <w:r w:rsidRPr="00DC162C">
              <w:rPr>
                <w:rFonts w:eastAsia="標楷體" w:cs="Arial" w:hint="eastAsia"/>
                <w:bCs/>
              </w:rPr>
              <w:t>(1)/2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607013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607013">
              <w:rPr>
                <w:rFonts w:eastAsia="標楷體" w:cs="Arial" w:hint="eastAsia"/>
                <w:bCs/>
              </w:rPr>
              <w:t>基礎會計分析</w:t>
            </w:r>
            <w:r w:rsidRPr="00607013">
              <w:rPr>
                <w:rFonts w:eastAsia="標楷體" w:cs="Arial" w:hint="eastAsia"/>
                <w:bCs/>
              </w:rPr>
              <w:t>(</w:t>
            </w:r>
            <w:proofErr w:type="gramStart"/>
            <w:r w:rsidRPr="00607013">
              <w:rPr>
                <w:rFonts w:eastAsia="標楷體" w:cs="Arial" w:hint="eastAsia"/>
                <w:bCs/>
              </w:rPr>
              <w:t>一</w:t>
            </w:r>
            <w:proofErr w:type="gramEnd"/>
            <w:r w:rsidRPr="00607013">
              <w:rPr>
                <w:rFonts w:eastAsia="標楷體" w:cs="Arial" w:hint="eastAsia"/>
                <w:bCs/>
              </w:rPr>
              <w:t>)</w:t>
            </w:r>
            <w:r w:rsidRPr="00607013">
              <w:rPr>
                <w:rFonts w:eastAsia="標楷體" w:cs="Arial"/>
                <w:bCs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財經新聞導讀</w:t>
            </w:r>
            <w:r w:rsidRPr="00DC162C">
              <w:rPr>
                <w:rFonts w:eastAsia="標楷體" w:cs="Arial" w:hint="eastAsia"/>
                <w:bCs/>
              </w:rPr>
              <w:t>(2)/2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607013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607013">
              <w:rPr>
                <w:rFonts w:eastAsia="標楷體" w:cs="Arial" w:hint="eastAsia"/>
                <w:bCs/>
              </w:rPr>
              <w:t>基礎會計分析</w:t>
            </w:r>
            <w:r w:rsidRPr="00607013">
              <w:rPr>
                <w:rFonts w:eastAsia="標楷體" w:cs="Arial" w:hint="eastAsia"/>
                <w:bCs/>
              </w:rPr>
              <w:t>(</w:t>
            </w:r>
            <w:r w:rsidRPr="00607013">
              <w:rPr>
                <w:rFonts w:eastAsia="標楷體" w:cs="Arial" w:hint="eastAsia"/>
                <w:bCs/>
              </w:rPr>
              <w:t>二</w:t>
            </w:r>
            <w:r w:rsidRPr="00607013">
              <w:rPr>
                <w:rFonts w:eastAsia="標楷體" w:cs="Arial" w:hint="eastAsia"/>
                <w:bCs/>
              </w:rPr>
              <w:t>)</w:t>
            </w:r>
            <w:r w:rsidRPr="00607013">
              <w:rPr>
                <w:rFonts w:eastAsia="標楷體" w:cs="Arial"/>
                <w:bCs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國際金融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607013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607013">
              <w:rPr>
                <w:rFonts w:eastAsia="標楷體" w:cs="Arial" w:hint="eastAsia"/>
                <w:bCs/>
              </w:rPr>
              <w:t>公司財務分析與解讀</w:t>
            </w:r>
            <w:r w:rsidRPr="00607013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金融行銷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607013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607013">
              <w:rPr>
                <w:rFonts w:eastAsia="標楷體" w:cs="Arial" w:hint="eastAsia"/>
                <w:bCs/>
              </w:rPr>
              <w:t>投資學</w:t>
            </w:r>
            <w:r w:rsidRPr="00607013">
              <w:rPr>
                <w:rFonts w:eastAsia="標楷體" w:cs="Arial" w:hint="eastAsia"/>
                <w:bCs/>
              </w:rPr>
              <w:t>(</w:t>
            </w:r>
            <w:proofErr w:type="gramStart"/>
            <w:r w:rsidRPr="00607013">
              <w:rPr>
                <w:rFonts w:eastAsia="標楷體" w:cs="Arial" w:hint="eastAsia"/>
                <w:bCs/>
              </w:rPr>
              <w:t>一</w:t>
            </w:r>
            <w:proofErr w:type="gramEnd"/>
            <w:r w:rsidRPr="00607013">
              <w:rPr>
                <w:rFonts w:eastAsia="標楷體" w:cs="Arial" w:hint="eastAsia"/>
                <w:bCs/>
              </w:rPr>
              <w:t>)</w:t>
            </w:r>
            <w:r w:rsidRPr="00607013">
              <w:rPr>
                <w:rFonts w:eastAsia="標楷體" w:cs="Arial"/>
                <w:bCs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基金管理實務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607013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607013">
              <w:rPr>
                <w:rFonts w:eastAsia="標楷體" w:cs="Arial" w:hint="eastAsia"/>
                <w:bCs/>
              </w:rPr>
              <w:t>投資學</w:t>
            </w:r>
            <w:r w:rsidRPr="00607013">
              <w:rPr>
                <w:rFonts w:eastAsia="標楷體" w:cs="Arial" w:hint="eastAsia"/>
                <w:bCs/>
              </w:rPr>
              <w:t>(</w:t>
            </w:r>
            <w:r w:rsidRPr="00607013">
              <w:rPr>
                <w:rFonts w:eastAsia="標楷體" w:cs="Arial" w:hint="eastAsia"/>
                <w:bCs/>
              </w:rPr>
              <w:t>二</w:t>
            </w:r>
            <w:r w:rsidRPr="00607013">
              <w:rPr>
                <w:rFonts w:eastAsia="標楷體" w:cs="Arial" w:hint="eastAsia"/>
                <w:bCs/>
              </w:rPr>
              <w:t>)</w:t>
            </w:r>
            <w:r w:rsidRPr="00607013">
              <w:rPr>
                <w:rFonts w:eastAsia="標楷體" w:cs="Arial"/>
                <w:bCs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數位金融</w:t>
            </w:r>
            <w:r w:rsidRPr="00DC162C"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607013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607013">
              <w:rPr>
                <w:rFonts w:eastAsia="標楷體" w:cs="Arial" w:hint="eastAsia"/>
                <w:bCs/>
              </w:rPr>
              <w:t>保單健診與規劃</w:t>
            </w:r>
            <w:r w:rsidRPr="00607013"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大數據資料分析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衍生性商品交易實務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  <w:r w:rsidRPr="00E309B8">
              <w:rPr>
                <w:rFonts w:eastAsia="標楷體" w:cs="Arial" w:hint="eastAsia"/>
                <w:bCs/>
                <w:color w:val="auto"/>
              </w:rPr>
              <w:t>或</w:t>
            </w:r>
            <w:r w:rsidRPr="00E309B8">
              <w:rPr>
                <w:rFonts w:eastAsia="標楷體" w:cs="Arial" w:hint="eastAsia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>
              <w:rPr>
                <w:rFonts w:eastAsia="標楷體" w:cs="Arial" w:hint="eastAsia"/>
                <w:bCs/>
              </w:rPr>
              <w:t>投</w:t>
            </w:r>
            <w:r>
              <w:rPr>
                <w:rFonts w:eastAsia="標楷體" w:cs="Arial"/>
                <w:bCs/>
              </w:rPr>
              <w:t>資型保險證照實務</w:t>
            </w:r>
            <w:r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金融科技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>
              <w:rPr>
                <w:rFonts w:eastAsia="標楷體" w:cs="Arial" w:hint="eastAsia"/>
                <w:bCs/>
              </w:rPr>
              <w:t>金</w:t>
            </w:r>
            <w:r>
              <w:rPr>
                <w:rFonts w:eastAsia="標楷體" w:cs="Arial"/>
                <w:bCs/>
              </w:rPr>
              <w:t>融數位力與大數據</w:t>
            </w:r>
            <w:r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lastRenderedPageBreak/>
              <w:t>國際財務管理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財務時間序列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金融風險管理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財金系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債券市場與實務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財務管理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  <w:sz w:val="22"/>
                <w:szCs w:val="22"/>
              </w:rPr>
            </w:pPr>
            <w:r w:rsidRPr="00E309B8">
              <w:rPr>
                <w:rFonts w:eastAsia="標楷體" w:cs="Arial" w:hint="eastAsia"/>
                <w:bCs/>
                <w:color w:val="auto"/>
                <w:szCs w:val="22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財務金融個案研究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行銷管理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)/</w:t>
            </w:r>
            <w:r w:rsidRPr="00E309B8">
              <w:rPr>
                <w:rFonts w:eastAsia="標楷體" w:cs="Arial"/>
                <w:bCs/>
                <w:color w:val="auto"/>
              </w:rPr>
              <w:t>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金融商品分析與應用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行銷管理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</w:t>
            </w:r>
            <w:r w:rsidRPr="00E309B8">
              <w:rPr>
                <w:rFonts w:eastAsia="標楷體" w:cs="Arial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投資組合管理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人力資源管理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>
              <w:rPr>
                <w:rFonts w:eastAsia="標楷體" w:cs="Arial" w:hint="eastAsia"/>
                <w:bCs/>
              </w:rPr>
              <w:t>新金</w:t>
            </w:r>
            <w:r>
              <w:rPr>
                <w:rFonts w:eastAsia="標楷體" w:cs="Arial"/>
                <w:bCs/>
              </w:rPr>
              <w:t>融商品</w:t>
            </w:r>
            <w:r>
              <w:rPr>
                <w:rFonts w:eastAsia="標楷體" w:cs="Arial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生產與作業管理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理財規劃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組織行為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理財工具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策略管理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資產證券化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商用英文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財經英文導讀</w:t>
            </w:r>
            <w:r w:rsidRPr="00DC162C">
              <w:rPr>
                <w:rFonts w:eastAsia="標楷體" w:cs="Arial" w:hint="eastAsia"/>
                <w:bCs/>
              </w:rPr>
              <w:t>(</w:t>
            </w:r>
            <w:r w:rsidRPr="00DC162C">
              <w:rPr>
                <w:rFonts w:eastAsia="標楷體" w:cs="Arial"/>
                <w:bCs/>
              </w:rPr>
              <w:t>1)/2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企業倫理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財經英文導讀</w:t>
            </w:r>
            <w:r w:rsidRPr="00DC162C">
              <w:rPr>
                <w:rFonts w:eastAsia="標楷體" w:cs="Arial" w:hint="eastAsia"/>
                <w:bCs/>
              </w:rPr>
              <w:t>(</w:t>
            </w:r>
            <w:r w:rsidRPr="00DC162C">
              <w:rPr>
                <w:rFonts w:eastAsia="標楷體" w:cs="Arial"/>
                <w:bCs/>
              </w:rPr>
              <w:t>2)/2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財金系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企業個案診斷</w:t>
            </w:r>
            <w:r w:rsidRPr="00E309B8">
              <w:rPr>
                <w:rFonts w:eastAsia="標楷體" w:cs="Arial" w:hint="eastAsia"/>
                <w:bCs/>
                <w:color w:val="auto"/>
              </w:rPr>
              <w:t>/3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創業發想與規劃</w:t>
            </w:r>
            <w:r w:rsidRPr="00DC162C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企劃與實作</w:t>
            </w:r>
            <w:r w:rsidRPr="00E309B8">
              <w:rPr>
                <w:rFonts w:eastAsia="標楷體" w:cs="Arial" w:hint="eastAsia"/>
                <w:bCs/>
                <w:color w:val="auto"/>
              </w:rPr>
              <w:t>/2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企管系</w:t>
            </w: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創新與創業管理</w:t>
            </w:r>
            <w:r w:rsidRPr="00DC162C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r w:rsidRPr="00E309B8">
              <w:rPr>
                <w:rFonts w:eastAsia="標楷體" w:cs="Arial" w:hint="eastAsia"/>
                <w:bCs/>
                <w:color w:val="auto"/>
              </w:rPr>
              <w:t>跨</w:t>
            </w:r>
            <w:r w:rsidRPr="00E309B8">
              <w:rPr>
                <w:rFonts w:eastAsia="標楷體" w:cs="Arial"/>
                <w:bCs/>
                <w:color w:val="auto"/>
              </w:rPr>
              <w:t>科技新零售服務實務專題</w:t>
            </w:r>
            <w:r w:rsidRPr="00E309B8">
              <w:rPr>
                <w:rFonts w:eastAsia="標楷體" w:cs="Arial" w:hint="eastAsia"/>
                <w:bCs/>
                <w:color w:val="auto"/>
              </w:rPr>
              <w:t>(</w:t>
            </w: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一</w:t>
            </w:r>
            <w:proofErr w:type="gramEnd"/>
            <w:r w:rsidRPr="00E309B8">
              <w:rPr>
                <w:rFonts w:eastAsia="標楷體" w:cs="Arial" w:hint="eastAsia"/>
                <w:bCs/>
                <w:color w:val="auto"/>
              </w:rPr>
              <w:t>)(</w:t>
            </w:r>
            <w:r w:rsidRPr="00E309B8">
              <w:rPr>
                <w:rFonts w:eastAsia="標楷體" w:cs="Arial" w:hint="eastAsia"/>
                <w:bCs/>
                <w:color w:val="auto"/>
              </w:rPr>
              <w:t>二</w:t>
            </w:r>
            <w:r w:rsidRPr="00E309B8">
              <w:rPr>
                <w:rFonts w:eastAsia="標楷體" w:cs="Arial" w:hint="eastAsia"/>
                <w:bCs/>
                <w:color w:val="auto"/>
              </w:rPr>
              <w:t>)/3</w:t>
            </w:r>
            <w:r w:rsidRPr="00E309B8">
              <w:rPr>
                <w:rFonts w:eastAsia="標楷體" w:cs="Arial" w:hint="eastAsia"/>
                <w:bCs/>
                <w:color w:val="auto"/>
              </w:rPr>
              <w:t>或</w:t>
            </w:r>
            <w:r w:rsidRPr="00E309B8">
              <w:rPr>
                <w:rFonts w:eastAsia="標楷體" w:cs="Arial" w:hint="eastAsia"/>
                <w:bCs/>
                <w:color w:val="auto"/>
              </w:rPr>
              <w:t>6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E309B8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color w:val="auto"/>
              </w:rPr>
            </w:pPr>
            <w:proofErr w:type="gramStart"/>
            <w:r w:rsidRPr="00E309B8">
              <w:rPr>
                <w:rFonts w:eastAsia="標楷體" w:cs="Arial" w:hint="eastAsia"/>
                <w:bCs/>
                <w:color w:val="auto"/>
              </w:rPr>
              <w:t>行</w:t>
            </w:r>
            <w:r w:rsidRPr="00E309B8">
              <w:rPr>
                <w:rFonts w:eastAsia="標楷體" w:cs="Arial"/>
                <w:bCs/>
                <w:color w:val="auto"/>
              </w:rPr>
              <w:t>流系</w:t>
            </w:r>
            <w:proofErr w:type="gramEnd"/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消費者行為</w:t>
            </w:r>
            <w:r w:rsidRPr="00DC162C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/>
                <w:bCs/>
              </w:rPr>
              <w:t>AI</w:t>
            </w:r>
            <w:r w:rsidRPr="00DC162C">
              <w:rPr>
                <w:rFonts w:eastAsia="標楷體" w:cs="Arial" w:hint="eastAsia"/>
                <w:bCs/>
              </w:rPr>
              <w:t>生成與商業應用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3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proofErr w:type="gramStart"/>
            <w:r w:rsidRPr="00DC162C">
              <w:rPr>
                <w:rFonts w:eastAsia="標楷體" w:cs="Arial" w:hint="eastAsia"/>
                <w:bCs/>
              </w:rPr>
              <w:t>行</w:t>
            </w:r>
            <w:r w:rsidRPr="00DC162C">
              <w:rPr>
                <w:rFonts w:eastAsia="標楷體" w:cs="Arial"/>
                <w:bCs/>
              </w:rPr>
              <w:t>流系</w:t>
            </w:r>
            <w:proofErr w:type="gramEnd"/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策略管理概論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168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電子商務</w:t>
            </w:r>
            <w:r w:rsidRPr="00DC162C">
              <w:rPr>
                <w:rFonts w:eastAsia="標楷體" w:cs="Arial" w:hint="eastAsia"/>
                <w:bCs/>
              </w:rPr>
              <w:t>/</w:t>
            </w:r>
            <w:r w:rsidRPr="00DC162C">
              <w:rPr>
                <w:rFonts w:eastAsia="標楷體" w:cs="Arial"/>
                <w:bCs/>
              </w:rPr>
              <w:t>3</w:t>
            </w:r>
          </w:p>
        </w:tc>
        <w:tc>
          <w:tcPr>
            <w:tcW w:w="8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proofErr w:type="gramStart"/>
            <w:r w:rsidRPr="00DC162C">
              <w:rPr>
                <w:rFonts w:eastAsia="標楷體" w:cs="Arial" w:hint="eastAsia"/>
                <w:bCs/>
              </w:rPr>
              <w:t>行流系</w:t>
            </w:r>
            <w:proofErr w:type="gramEnd"/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產業分析</w:t>
            </w:r>
            <w:r w:rsidRPr="00DC162C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bookmarkStart w:id="0" w:name="_GoBack"/>
            <w:bookmarkEnd w:id="0"/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  <w:r w:rsidRPr="00DC162C">
              <w:rPr>
                <w:rFonts w:eastAsia="標楷體" w:cs="Arial" w:hint="eastAsia"/>
                <w:bCs/>
              </w:rPr>
              <w:t>行銷策略與規劃</w:t>
            </w:r>
            <w:r w:rsidRPr="00DC162C">
              <w:rPr>
                <w:rFonts w:eastAsia="標楷體" w:cs="Arial" w:hint="eastAsia"/>
                <w:bCs/>
              </w:rPr>
              <w:t>/3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  <w:bCs/>
              </w:rPr>
              <w:t>商務人際經營管理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金融市場與機構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台中銀行實務講座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  <w:bCs/>
              </w:rPr>
              <w:t>個人理財概論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  <w:bCs/>
              </w:rPr>
              <w:t>投資學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3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  <w:strike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表達與品牌形象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09647C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</w:rPr>
              <w:t>企管系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理</w:t>
            </w:r>
            <w:r>
              <w:rPr>
                <w:rFonts w:eastAsia="標楷體"/>
                <w:bCs/>
              </w:rPr>
              <w:t>財規劃實務</w:t>
            </w:r>
            <w:r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</w:t>
            </w:r>
            <w:r>
              <w:rPr>
                <w:rFonts w:eastAsia="標楷體"/>
              </w:rPr>
              <w:t>貿系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貨</w:t>
            </w:r>
            <w:r>
              <w:rPr>
                <w:rFonts w:eastAsia="標楷體"/>
                <w:bCs/>
              </w:rPr>
              <w:t>幣銀行學</w:t>
            </w:r>
            <w:r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國</w:t>
            </w:r>
            <w:r>
              <w:rPr>
                <w:rFonts w:eastAsia="標楷體"/>
              </w:rPr>
              <w:t>貿系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顧客關係管理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proofErr w:type="gramStart"/>
            <w:r w:rsidRPr="00DC162C">
              <w:rPr>
                <w:rFonts w:eastAsia="標楷體" w:hint="eastAsia"/>
              </w:rPr>
              <w:t>行流系</w:t>
            </w:r>
            <w:proofErr w:type="gramEnd"/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金融商品行銷實務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proofErr w:type="gramStart"/>
            <w:r w:rsidRPr="00DC162C">
              <w:rPr>
                <w:rFonts w:eastAsia="標楷體" w:hint="eastAsia"/>
              </w:rPr>
              <w:t>行流系</w:t>
            </w:r>
            <w:proofErr w:type="gramEnd"/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財報分析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proofErr w:type="gramStart"/>
            <w:r w:rsidRPr="00DC162C">
              <w:rPr>
                <w:rFonts w:eastAsia="標楷體" w:hint="eastAsia"/>
              </w:rPr>
              <w:t>行流系</w:t>
            </w:r>
            <w:proofErr w:type="gramEnd"/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市場調查與分析</w:t>
            </w:r>
            <w:r w:rsidRPr="00DC162C">
              <w:rPr>
                <w:rFonts w:eastAsia="標楷體" w:hint="eastAsia"/>
                <w:bCs/>
              </w:rPr>
              <w:t>/</w:t>
            </w:r>
            <w:r w:rsidRPr="00DC162C">
              <w:rPr>
                <w:rFonts w:eastAsia="標楷體"/>
                <w:bCs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/>
              </w:rPr>
            </w:pPr>
            <w:proofErr w:type="gramStart"/>
            <w:r w:rsidRPr="00DC162C">
              <w:rPr>
                <w:rFonts w:eastAsia="標楷體" w:hint="eastAsia"/>
              </w:rPr>
              <w:t>行流系</w:t>
            </w:r>
            <w:proofErr w:type="gramEnd"/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公司法及企業</w:t>
            </w:r>
            <w:proofErr w:type="gramStart"/>
            <w:r w:rsidRPr="00DC162C">
              <w:rPr>
                <w:rFonts w:eastAsia="標楷體" w:hint="eastAsia"/>
                <w:bCs/>
              </w:rPr>
              <w:t>併購法</w:t>
            </w:r>
            <w:proofErr w:type="gramEnd"/>
            <w:r w:rsidRPr="00DC162C">
              <w:rPr>
                <w:rFonts w:eastAsia="標楷體" w:hint="eastAsia"/>
                <w:bCs/>
              </w:rPr>
              <w:t>實務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電子商務法及實務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金融法規及實務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證券交易法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autoSpaceDE w:val="0"/>
              <w:autoSpaceDN w:val="0"/>
              <w:adjustRightInd w:val="0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法學緒論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企業經營法律實務</w:t>
            </w:r>
            <w:r w:rsidRPr="00DC162C">
              <w:rPr>
                <w:rFonts w:eastAsia="標楷體" w:hint="eastAsia"/>
                <w:bCs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</w:rPr>
              <w:t>消費者保護法</w:t>
            </w:r>
            <w:r w:rsidRPr="00DC162C">
              <w:rPr>
                <w:rFonts w:eastAsia="標楷體" w:hint="eastAsia"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</w:rPr>
              <w:t>保險法</w:t>
            </w:r>
            <w:r w:rsidRPr="00DC162C">
              <w:rPr>
                <w:rFonts w:eastAsia="標楷體" w:hint="eastAsia"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</w:rPr>
              <w:t>公平交易法及實務</w:t>
            </w:r>
            <w:r w:rsidRPr="00DC162C">
              <w:rPr>
                <w:rFonts w:eastAsia="標楷體" w:hint="eastAsia"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E309B8">
        <w:trPr>
          <w:trHeight w:val="20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財稅法</w:t>
            </w:r>
            <w:r w:rsidRPr="00DC162C">
              <w:rPr>
                <w:rFonts w:eastAsia="標楷體" w:hint="eastAsia"/>
              </w:rPr>
              <w:t>/</w:t>
            </w:r>
            <w:r w:rsidRPr="00DC162C">
              <w:rPr>
                <w:rFonts w:eastAsia="標楷體"/>
              </w:rPr>
              <w:t>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  <w:tr w:rsidR="00E309B8" w:rsidRPr="00DC162C" w:rsidTr="0006425A">
        <w:trPr>
          <w:trHeight w:val="615"/>
          <w:jc w:val="center"/>
        </w:trPr>
        <w:tc>
          <w:tcPr>
            <w:tcW w:w="2568" w:type="pct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spacing w:line="0" w:lineRule="atLeast"/>
              <w:ind w:rightChars="8" w:right="19"/>
              <w:jc w:val="center"/>
              <w:rPr>
                <w:rFonts w:eastAsia="標楷體" w:cs="Arial"/>
                <w:bCs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</w:rPr>
            </w:pPr>
            <w:r w:rsidRPr="00DC162C">
              <w:rPr>
                <w:rFonts w:eastAsia="標楷體" w:hint="eastAsia"/>
              </w:rPr>
              <w:t>海商法</w:t>
            </w:r>
            <w:r w:rsidRPr="00DC162C">
              <w:rPr>
                <w:rFonts w:eastAsia="標楷體" w:hint="eastAsia"/>
              </w:rPr>
              <w:t>/2</w:t>
            </w:r>
          </w:p>
        </w:tc>
        <w:tc>
          <w:tcPr>
            <w:tcW w:w="953" w:type="pct"/>
            <w:gridSpan w:val="2"/>
            <w:shd w:val="clear" w:color="auto" w:fill="auto"/>
            <w:vAlign w:val="center"/>
          </w:tcPr>
          <w:p w:rsidR="00E309B8" w:rsidRPr="00DC162C" w:rsidRDefault="00E309B8" w:rsidP="00E309B8">
            <w:pPr>
              <w:snapToGrid w:val="0"/>
              <w:ind w:rightChars="8" w:right="19"/>
              <w:jc w:val="center"/>
              <w:rPr>
                <w:rFonts w:eastAsia="標楷體"/>
                <w:bCs/>
              </w:rPr>
            </w:pPr>
            <w:r w:rsidRPr="00DC162C">
              <w:rPr>
                <w:rFonts w:eastAsia="標楷體" w:hint="eastAsia"/>
                <w:bCs/>
              </w:rPr>
              <w:t>財法系</w:t>
            </w:r>
          </w:p>
        </w:tc>
      </w:tr>
    </w:tbl>
    <w:p w:rsidR="002758B7" w:rsidRDefault="00E309B8"/>
    <w:sectPr w:rsidR="002758B7" w:rsidSect="00E309B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B8"/>
    <w:rsid w:val="000378DA"/>
    <w:rsid w:val="00286EE8"/>
    <w:rsid w:val="00E3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2909E"/>
  <w15:chartTrackingRefBased/>
  <w15:docId w15:val="{59F26A5A-E4A4-492A-806B-6304EF13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309B8"/>
    <w:pPr>
      <w:widowControl w:val="0"/>
    </w:pPr>
    <w:rPr>
      <w:rFonts w:ascii="Calibri" w:hAnsi="Calibri" w:cs="Calibri"/>
      <w:color w:val="00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0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09B8"/>
    <w:rPr>
      <w:rFonts w:ascii="Calibri" w:hAnsi="Calibri" w:cs="Calibri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2026-04-10T08:13:00Z</dcterms:created>
  <dcterms:modified xsi:type="dcterms:W3CDTF">2026-04-10T08:16:00Z</dcterms:modified>
</cp:coreProperties>
</file>